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ascii="黑体" w:hAnsi="黑体" w:eastAsia="黑体" w:cs="黑体"/>
          <w:bCs/>
          <w:color w:val="000000"/>
          <w:sz w:val="32"/>
          <w:szCs w:val="32"/>
        </w:rPr>
      </w:pPr>
      <w:r>
        <w:rPr>
          <w:rFonts w:hint="eastAsia" w:ascii="黑体" w:hAnsi="黑体" w:eastAsia="黑体" w:cs="黑体"/>
          <w:bCs/>
          <w:color w:val="000000"/>
          <w:sz w:val="32"/>
          <w:szCs w:val="32"/>
        </w:rPr>
        <w:t>附件1</w:t>
      </w:r>
    </w:p>
    <w:p>
      <w:pPr>
        <w:overflowPunct w:val="0"/>
        <w:spacing w:line="580" w:lineRule="exact"/>
        <w:rPr>
          <w:rFonts w:ascii="方正黑体_GBK" w:eastAsia="方正黑体_GBK" w:cs="方正黑体_GBK"/>
          <w:bCs/>
          <w:color w:val="000000"/>
          <w:sz w:val="28"/>
          <w:szCs w:val="28"/>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省民委2024年度铸牢中华民族共同体</w:t>
      </w:r>
    </w:p>
    <w:p>
      <w:pPr>
        <w:spacing w:line="58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意识项目申报指南</w:t>
      </w:r>
    </w:p>
    <w:p>
      <w:pPr>
        <w:overflowPunct w:val="0"/>
        <w:spacing w:line="580" w:lineRule="exact"/>
        <w:rPr>
          <w:rFonts w:ascii="方正小标宋_GBK" w:eastAsia="方正小标宋_GBK" w:cs="方正小标宋_GBK"/>
          <w:bCs/>
          <w:color w:val="000000"/>
          <w:spacing w:val="20"/>
          <w:sz w:val="44"/>
          <w:szCs w:val="44"/>
        </w:rPr>
      </w:pPr>
    </w:p>
    <w:p>
      <w:pPr>
        <w:overflowPunct w:val="0"/>
        <w:spacing w:line="580" w:lineRule="exact"/>
        <w:ind w:firstLine="640" w:firstLineChars="200"/>
        <w:rPr>
          <w:rFonts w:ascii="方正小标宋_GBK" w:eastAsia="方正小标宋_GBK" w:cs="方正小标宋_GBK"/>
          <w:bCs/>
          <w:color w:val="000000"/>
          <w:spacing w:val="20"/>
          <w:sz w:val="44"/>
          <w:szCs w:val="44"/>
        </w:rPr>
      </w:pPr>
      <w:r>
        <w:rPr>
          <w:rFonts w:hint="eastAsia" w:ascii="Times New Roman" w:hAnsi="Times New Roman" w:eastAsia="黑体"/>
          <w:bCs/>
          <w:color w:val="000000"/>
          <w:sz w:val="32"/>
          <w:szCs w:val="32"/>
        </w:rPr>
        <w:t>一、重点项目</w:t>
      </w:r>
    </w:p>
    <w:p>
      <w:pPr>
        <w:overflowPunct w:val="0"/>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1.河西走廊各民族交往交流交融理论与实践研究</w:t>
      </w:r>
    </w:p>
    <w:p>
      <w:pPr>
        <w:overflowPunct w:val="0"/>
        <w:spacing w:line="58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2.全省民族团结进步创建“一廊一区一带”行动实践创新路径研究</w:t>
      </w:r>
    </w:p>
    <w:p>
      <w:pPr>
        <w:overflowPunct w:val="0"/>
        <w:spacing w:line="58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3.</w:t>
      </w:r>
      <w:r>
        <w:rPr>
          <w:rFonts w:hint="eastAsia" w:ascii="仿宋_GB2312" w:hAnsi="仿宋_GB2312" w:eastAsia="仿宋_GB2312" w:cs="仿宋_GB2312"/>
          <w:sz w:val="32"/>
          <w:szCs w:val="32"/>
        </w:rPr>
        <w:t>坚持守正创新着力打造民族团结进步创建工作升级版</w:t>
      </w:r>
    </w:p>
    <w:p>
      <w:pPr>
        <w:suppressAutoHyphens/>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4.</w:t>
      </w:r>
      <w:r>
        <w:rPr>
          <w:rFonts w:ascii="仿宋_GB2312" w:hAnsi="仿宋_GB2312" w:eastAsia="仿宋_GB2312" w:cs="仿宋_GB2312"/>
          <w:spacing w:val="-6"/>
          <w:sz w:val="32"/>
          <w:szCs w:val="32"/>
        </w:rPr>
        <w:t>甘肃省涉民族法规立法研究</w:t>
      </w:r>
    </w:p>
    <w:p>
      <w:pPr>
        <w:suppressAutoHyphen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pacing w:val="-6"/>
          <w:sz w:val="32"/>
          <w:szCs w:val="32"/>
        </w:rPr>
        <w:t>如何进一步突出少数民族发展任务资金“融”的导向研究</w:t>
      </w:r>
    </w:p>
    <w:p>
      <w:pPr>
        <w:overflowPunct w:val="0"/>
        <w:spacing w:line="580" w:lineRule="exact"/>
        <w:ind w:firstLine="640" w:firstLineChars="200"/>
        <w:rPr>
          <w:rFonts w:ascii="楷体_GB2312" w:hAnsi="楷体_GB2312" w:eastAsia="楷体_GB2312" w:cs="楷体_GB2312"/>
          <w:b/>
          <w:color w:val="000000"/>
          <w:sz w:val="32"/>
          <w:szCs w:val="32"/>
        </w:rPr>
      </w:pPr>
      <w:r>
        <w:rPr>
          <w:rFonts w:hint="eastAsia" w:ascii="Times New Roman" w:hAnsi="Times New Roman" w:eastAsia="黑体"/>
          <w:bCs/>
          <w:color w:val="000000"/>
          <w:sz w:val="32"/>
          <w:szCs w:val="32"/>
        </w:rPr>
        <w:t>二、一般项目</w:t>
      </w:r>
    </w:p>
    <w:p>
      <w:pPr>
        <w:overflowPunct w:val="0"/>
        <w:spacing w:line="58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（一）习近平总书记关于加强和改进民族工作的重要思想方面</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spacing w:val="-6"/>
          <w:sz w:val="32"/>
          <w:szCs w:val="32"/>
        </w:rPr>
        <w:t>习近平文化思想与中华民族共同体意识关系研究</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7.中国式现代化与甘肃中华民族共同体构建的逻辑关系、实践路径和发展方向研究</w:t>
      </w:r>
    </w:p>
    <w:p>
      <w:pPr>
        <w:overflowPunct w:val="0"/>
        <w:spacing w:line="58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（二）铸牢中民族共同体意识基础理论方面</w:t>
      </w:r>
    </w:p>
    <w:p>
      <w:pPr>
        <w:spacing w:line="580" w:lineRule="exact"/>
        <w:ind w:firstLine="616" w:firstLineChars="200"/>
        <w:rPr>
          <w:rFonts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8.</w:t>
      </w:r>
      <w:r>
        <w:rPr>
          <w:rFonts w:hint="eastAsia" w:ascii="仿宋_GB2312" w:hAnsi="仿宋_GB2312" w:eastAsia="仿宋_GB2312" w:cs="仿宋_GB2312"/>
          <w:spacing w:val="-6"/>
          <w:sz w:val="32"/>
          <w:szCs w:val="32"/>
        </w:rPr>
        <w:t>推动《中华民族交往交流交融史（甘肃卷）》成果转化的路径研究和实践探索研究</w:t>
      </w:r>
    </w:p>
    <w:p>
      <w:pPr>
        <w:spacing w:line="58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spacing w:val="-6"/>
          <w:sz w:val="32"/>
          <w:szCs w:val="32"/>
        </w:rPr>
        <w:t>第二个结合”视域下敦煌莫高窟文物与中华文化象征体系构建研究</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spacing w:val="-6"/>
          <w:sz w:val="32"/>
          <w:szCs w:val="32"/>
        </w:rPr>
        <w:t>铸牢中华民族共同体意识的法治文化路径研究</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11.铸牢中华民族共同体意识教育路径和策略研究</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12.甘肃民族历史文化遗迹的数字化建设与研究</w:t>
      </w:r>
    </w:p>
    <w:p>
      <w:pPr>
        <w:overflowPunct w:val="0"/>
        <w:spacing w:line="58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（三）推进中华民族共有精神家园建设方面</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13.</w:t>
      </w:r>
      <w:r>
        <w:rPr>
          <w:rFonts w:hint="eastAsia" w:ascii="仿宋_GB2312" w:hAnsi="仿宋_GB2312" w:eastAsia="仿宋_GB2312" w:cs="仿宋_GB2312"/>
          <w:spacing w:val="-6"/>
          <w:sz w:val="32"/>
          <w:szCs w:val="32"/>
        </w:rPr>
        <w:t>敦煌壁画中体现的中华民族共同体意识图像研究</w:t>
      </w:r>
    </w:p>
    <w:p>
      <w:pPr>
        <w:suppressAutoHyphens/>
        <w:spacing w:line="580" w:lineRule="exact"/>
        <w:ind w:firstLine="616" w:firstLineChars="200"/>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spacing w:val="-6"/>
          <w:sz w:val="32"/>
          <w:szCs w:val="32"/>
        </w:rPr>
        <w:t>14.红色文化在铸牢中华民族共同体意识中的时代价值研究</w:t>
      </w:r>
    </w:p>
    <w:p>
      <w:pPr>
        <w:suppressAutoHyphens/>
        <w:spacing w:line="580" w:lineRule="exact"/>
        <w:ind w:firstLine="640" w:firstLineChars="200"/>
        <w:rPr>
          <w:rFonts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spacing w:val="-6"/>
          <w:sz w:val="32"/>
          <w:szCs w:val="32"/>
        </w:rPr>
        <w:t>河西走廊各民族交往交流交融对中华民族多元一体格局形成影响研究</w:t>
      </w:r>
    </w:p>
    <w:p>
      <w:pPr>
        <w:spacing w:line="58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color w:val="000000" w:themeColor="text1"/>
          <w:spacing w:val="-6"/>
          <w:sz w:val="32"/>
          <w:szCs w:val="32"/>
          <w14:textFill>
            <w14:solidFill>
              <w14:schemeClr w14:val="tx1"/>
            </w14:solidFill>
          </w14:textFill>
        </w:rPr>
        <w:t>16.</w:t>
      </w:r>
      <w:r>
        <w:rPr>
          <w:rFonts w:hint="eastAsia" w:ascii="仿宋_GB2312" w:hAnsi="仿宋_GB2312" w:eastAsia="仿宋_GB2312" w:cs="仿宋_GB2312"/>
          <w:spacing w:val="-6"/>
          <w:sz w:val="32"/>
          <w:szCs w:val="32"/>
        </w:rPr>
        <w:t>铸牢中华民族共同体视域下藏医药文化高质量发展路径研究</w:t>
      </w:r>
    </w:p>
    <w:p>
      <w:pPr>
        <w:spacing w:line="58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color w:val="000000" w:themeColor="text1"/>
          <w:spacing w:val="-6"/>
          <w:sz w:val="32"/>
          <w:szCs w:val="32"/>
          <w14:textFill>
            <w14:solidFill>
              <w14:schemeClr w14:val="tx1"/>
            </w14:solidFill>
          </w14:textFill>
        </w:rPr>
        <w:t>17.</w:t>
      </w:r>
      <w:r>
        <w:rPr>
          <w:rFonts w:hint="eastAsia" w:ascii="仿宋_GB2312" w:hAnsi="仿宋_GB2312" w:eastAsia="仿宋_GB2312" w:cs="仿宋_GB2312"/>
          <w:spacing w:val="-6"/>
          <w:sz w:val="32"/>
          <w:szCs w:val="32"/>
        </w:rPr>
        <w:t>构建铸牢中华民族共同体意识党政干部教育培训体系研究</w:t>
      </w:r>
    </w:p>
    <w:p>
      <w:pPr>
        <w:spacing w:line="58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spacing w:val="-6"/>
          <w:sz w:val="32"/>
          <w:szCs w:val="32"/>
        </w:rPr>
        <w:t>民族院校《中华民族共同体概论》课程创新路径探究</w:t>
      </w:r>
    </w:p>
    <w:p>
      <w:pPr>
        <w:spacing w:line="58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19.铸牢中华民族共同体意识有机融入高校思想政治理论课理论与实践研究</w:t>
      </w:r>
    </w:p>
    <w:p>
      <w:pPr>
        <w:spacing w:line="58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20.多民族共享非物质文化遗产中甘肃省各民族的“三交”实践研究</w:t>
      </w:r>
    </w:p>
    <w:p>
      <w:pPr>
        <w:spacing w:line="580" w:lineRule="exact"/>
        <w:ind w:firstLine="619" w:firstLineChars="200"/>
        <w:rPr>
          <w:rFonts w:ascii="楷体_GB2312" w:hAnsi="楷体_GB2312" w:eastAsia="楷体_GB2312" w:cs="楷体_GB2312"/>
          <w:b/>
          <w:bCs/>
          <w:color w:val="000000" w:themeColor="text1"/>
          <w:spacing w:val="-6"/>
          <w:sz w:val="32"/>
          <w:szCs w:val="32"/>
          <w14:textFill>
            <w14:solidFill>
              <w14:schemeClr w14:val="tx1"/>
            </w14:solidFill>
          </w14:textFill>
        </w:rPr>
      </w:pPr>
      <w:r>
        <w:rPr>
          <w:rFonts w:hint="eastAsia" w:ascii="楷体_GB2312" w:hAnsi="楷体_GB2312" w:eastAsia="楷体_GB2312" w:cs="楷体_GB2312"/>
          <w:b/>
          <w:bCs/>
          <w:color w:val="000000" w:themeColor="text1"/>
          <w:spacing w:val="-6"/>
          <w:sz w:val="32"/>
          <w:szCs w:val="32"/>
          <w14:textFill>
            <w14:solidFill>
              <w14:schemeClr w14:val="tx1"/>
            </w14:solidFill>
          </w14:textFill>
        </w:rPr>
        <w:t>（四）推动各民族共同走向社会主义现代化方面</w:t>
      </w:r>
    </w:p>
    <w:p>
      <w:pPr>
        <w:overflowPunct w:val="0"/>
        <w:spacing w:line="580" w:lineRule="exact"/>
        <w:ind w:firstLine="616" w:firstLineChars="200"/>
        <w:rPr>
          <w:rFonts w:ascii="方正小标宋_GBK" w:eastAsia="方正小标宋_GBK" w:cs="方正小标宋_GBK"/>
          <w:bCs/>
          <w:color w:val="000000"/>
          <w:spacing w:val="20"/>
          <w:sz w:val="44"/>
          <w:szCs w:val="44"/>
        </w:rPr>
      </w:pPr>
      <w:r>
        <w:rPr>
          <w:rFonts w:hint="eastAsia" w:ascii="仿宋_GB2312" w:hAnsi="仿宋_GB2312" w:eastAsia="仿宋_GB2312" w:cs="仿宋_GB2312"/>
          <w:color w:val="000000" w:themeColor="text1"/>
          <w:spacing w:val="-6"/>
          <w:sz w:val="32"/>
          <w:szCs w:val="32"/>
          <w14:textFill>
            <w14:solidFill>
              <w14:schemeClr w14:val="tx1"/>
            </w14:solidFill>
          </w14:textFill>
        </w:rPr>
        <w:t>21.</w:t>
      </w:r>
      <w:r>
        <w:rPr>
          <w:rFonts w:hint="eastAsia" w:ascii="仿宋_GB2312" w:hAnsi="仿宋_GB2312" w:eastAsia="仿宋_GB2312" w:cs="仿宋_GB2312"/>
          <w:spacing w:val="-6"/>
          <w:sz w:val="32"/>
          <w:szCs w:val="32"/>
        </w:rPr>
        <w:t>马鬃山镇“四个共同”长廊建设研究</w:t>
      </w:r>
    </w:p>
    <w:p>
      <w:pPr>
        <w:spacing w:line="580" w:lineRule="exact"/>
        <w:ind w:firstLine="616" w:firstLineChars="200"/>
        <w:rPr>
          <w:rFonts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spacing w:val="-6"/>
          <w:sz w:val="32"/>
          <w:szCs w:val="32"/>
        </w:rPr>
        <w:t>22.以中国式现代化推进民族地区高质量发展</w:t>
      </w:r>
    </w:p>
    <w:p>
      <w:pPr>
        <w:suppressAutoHyphens/>
        <w:spacing w:line="580" w:lineRule="exact"/>
        <w:ind w:firstLine="616" w:firstLineChars="200"/>
        <w:rPr>
          <w:rFonts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23.推动甘肃省民族地区实现现代化的路径研究</w:t>
      </w:r>
    </w:p>
    <w:p>
      <w:pPr>
        <w:suppressAutoHyphens/>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spacing w:val="-6"/>
          <w:sz w:val="32"/>
          <w:szCs w:val="32"/>
        </w:rPr>
        <w:t>散杂居地区各民族共同迈向社会主义现代化路径探索</w:t>
      </w:r>
    </w:p>
    <w:p>
      <w:pPr>
        <w:suppressAutoHyphens/>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spacing w:val="-6"/>
          <w:sz w:val="32"/>
          <w:szCs w:val="32"/>
        </w:rPr>
        <w:t>在中国式现代化进程中铸牢中华民族共同体意识——以临夏回族自治州为例</w:t>
      </w:r>
    </w:p>
    <w:p>
      <w:pPr>
        <w:spacing w:line="580" w:lineRule="exact"/>
        <w:ind w:firstLine="619" w:firstLineChars="200"/>
        <w:rPr>
          <w:rFonts w:ascii="楷体_GB2312" w:hAnsi="楷体_GB2312" w:eastAsia="楷体_GB2312" w:cs="楷体_GB2312"/>
          <w:b/>
          <w:bCs/>
          <w:color w:val="000000" w:themeColor="text1"/>
          <w:spacing w:val="-6"/>
          <w:sz w:val="32"/>
          <w:szCs w:val="32"/>
          <w14:textFill>
            <w14:solidFill>
              <w14:schemeClr w14:val="tx1"/>
            </w14:solidFill>
          </w14:textFill>
        </w:rPr>
      </w:pPr>
      <w:r>
        <w:rPr>
          <w:rFonts w:hint="eastAsia" w:ascii="楷体_GB2312" w:hAnsi="楷体_GB2312" w:eastAsia="楷体_GB2312" w:cs="楷体_GB2312"/>
          <w:b/>
          <w:bCs/>
          <w:color w:val="000000" w:themeColor="text1"/>
          <w:spacing w:val="-6"/>
          <w:sz w:val="32"/>
          <w:szCs w:val="32"/>
          <w14:textFill>
            <w14:solidFill>
              <w14:schemeClr w14:val="tx1"/>
            </w14:solidFill>
          </w14:textFill>
        </w:rPr>
        <w:t>（五）促进各民族交往交流交融方面</w:t>
      </w:r>
    </w:p>
    <w:p>
      <w:pPr>
        <w:spacing w:line="580" w:lineRule="exact"/>
        <w:ind w:firstLine="616"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pacing w:val="-6"/>
          <w:sz w:val="32"/>
          <w:szCs w:val="32"/>
        </w:rPr>
        <w:t>26.河湟民族走廊各民族交往交流交融的经验与启示</w:t>
      </w:r>
    </w:p>
    <w:p>
      <w:pPr>
        <w:spacing w:line="58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color w:val="000000" w:themeColor="text1"/>
          <w:spacing w:val="-6"/>
          <w:sz w:val="32"/>
          <w:szCs w:val="32"/>
          <w14:textFill>
            <w14:solidFill>
              <w14:schemeClr w14:val="tx1"/>
            </w14:solidFill>
          </w14:textFill>
        </w:rPr>
        <w:t>27.</w:t>
      </w:r>
      <w:r>
        <w:rPr>
          <w:rFonts w:hint="eastAsia" w:ascii="仿宋_GB2312" w:hAnsi="仿宋_GB2312" w:eastAsia="仿宋_GB2312" w:cs="仿宋_GB2312"/>
          <w:spacing w:val="-6"/>
          <w:sz w:val="32"/>
          <w:szCs w:val="32"/>
        </w:rPr>
        <w:t>甘肃省各民族交往交流交融历史故事转化研究</w:t>
      </w:r>
    </w:p>
    <w:p>
      <w:pPr>
        <w:spacing w:line="580" w:lineRule="exact"/>
        <w:ind w:firstLine="616" w:firstLineChars="200"/>
        <w:rPr>
          <w:rFonts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28.</w:t>
      </w:r>
      <w:r>
        <w:rPr>
          <w:rFonts w:hint="eastAsia" w:ascii="仿宋_GB2312" w:hAnsi="仿宋_GB2312" w:eastAsia="仿宋_GB2312" w:cs="仿宋_GB2312"/>
          <w:spacing w:val="-6"/>
          <w:sz w:val="32"/>
          <w:szCs w:val="32"/>
        </w:rPr>
        <w:t>“红石榴”各族群众互嵌式发展示范单位实践路径研究</w:t>
      </w:r>
    </w:p>
    <w:p>
      <w:pPr>
        <w:spacing w:line="580" w:lineRule="exact"/>
        <w:ind w:firstLine="616" w:firstLineChars="200"/>
        <w:rPr>
          <w:rFonts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29.</w:t>
      </w:r>
      <w:r>
        <w:rPr>
          <w:rFonts w:hint="eastAsia" w:ascii="仿宋_GB2312" w:hAnsi="仿宋_GB2312" w:eastAsia="仿宋_GB2312" w:cs="仿宋_GB2312"/>
          <w:spacing w:val="-6"/>
          <w:sz w:val="32"/>
          <w:szCs w:val="32"/>
        </w:rPr>
        <w:t>庆阳铸牢中华民族共同体意识发展史研究——以南佐遗址及域内其他遗址、文物中存在的民族交往交流交融证据为例</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30.文物中的各民族交往交流交融史实挖掘及实践应用研究</w:t>
      </w:r>
    </w:p>
    <w:p>
      <w:pPr>
        <w:spacing w:line="58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（六）提升民族事务治理体系和治理能力现代化水平方面</w:t>
      </w:r>
    </w:p>
    <w:p>
      <w:pPr>
        <w:spacing w:line="58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31.</w:t>
      </w:r>
      <w:r>
        <w:rPr>
          <w:rFonts w:hint="eastAsia" w:ascii="仿宋_GB2312" w:hAnsi="仿宋_GB2312" w:eastAsia="仿宋_GB2312" w:cs="仿宋_GB2312"/>
          <w:spacing w:val="-6"/>
          <w:sz w:val="32"/>
          <w:szCs w:val="32"/>
        </w:rPr>
        <w:t>社会组织在铸牢中华民族共同体意识中如何发挥作用</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32.</w:t>
      </w:r>
      <w:r>
        <w:rPr>
          <w:rFonts w:hint="eastAsia" w:ascii="仿宋_GB2312" w:hAnsi="仿宋_GB2312" w:eastAsia="仿宋_GB2312" w:cs="仿宋_GB2312"/>
          <w:spacing w:val="-6"/>
          <w:sz w:val="32"/>
          <w:szCs w:val="32"/>
        </w:rPr>
        <w:t>新时代城市民族事务治理路径研究——以甘肃省为例</w:t>
      </w:r>
    </w:p>
    <w:p>
      <w:pPr>
        <w:spacing w:line="58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（七）坚决防范民族领域重大风险隐患方面</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33.</w:t>
      </w:r>
      <w:r>
        <w:rPr>
          <w:rFonts w:hint="eastAsia" w:ascii="仿宋_GB2312" w:hAnsi="仿宋_GB2312" w:eastAsia="仿宋_GB2312" w:cs="仿宋_GB2312"/>
          <w:spacing w:val="-6"/>
          <w:sz w:val="32"/>
          <w:szCs w:val="32"/>
        </w:rPr>
        <w:t>青藏高原边缘地带防震减灾及科普对策研究——以积石山6.2级地震为例</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34.防范和应对涉民族因素网络舆情研究</w:t>
      </w:r>
    </w:p>
    <w:p>
      <w:pPr>
        <w:spacing w:line="58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（八）加强和完善党对民族工作的全面领导方面</w:t>
      </w:r>
    </w:p>
    <w:p>
      <w:pPr>
        <w:suppressAutoHyphens/>
        <w:spacing w:line="580" w:lineRule="exact"/>
        <w:ind w:firstLine="620" w:firstLineChars="200"/>
        <w:rPr>
          <w:rFonts w:ascii="仿宋_GB2312" w:hAnsi="宋体" w:eastAsia="仿宋_GB2312" w:cs="仿宋_GB2312"/>
          <w:color w:val="000000" w:themeColor="text1"/>
          <w:sz w:val="31"/>
          <w:szCs w:val="31"/>
          <w14:textFill>
            <w14:solidFill>
              <w14:schemeClr w14:val="tx1"/>
            </w14:solidFill>
          </w14:textFill>
        </w:rPr>
      </w:pPr>
      <w:r>
        <w:rPr>
          <w:rFonts w:hint="eastAsia" w:ascii="仿宋_GB2312" w:hAnsi="宋体" w:eastAsia="仿宋_GB2312" w:cs="仿宋_GB2312"/>
          <w:color w:val="000000" w:themeColor="text1"/>
          <w:sz w:val="31"/>
          <w:szCs w:val="31"/>
          <w14:textFill>
            <w14:solidFill>
              <w14:schemeClr w14:val="tx1"/>
            </w14:solidFill>
          </w14:textFill>
        </w:rPr>
        <w:t>35.新中国成立以来甘肃省</w:t>
      </w:r>
      <w:r>
        <w:rPr>
          <w:rFonts w:ascii="仿宋_GB2312" w:hAnsi="宋体" w:eastAsia="仿宋_GB2312" w:cs="仿宋_GB2312"/>
          <w:color w:val="000000" w:themeColor="text1"/>
          <w:sz w:val="31"/>
          <w:szCs w:val="31"/>
          <w14:textFill>
            <w14:solidFill>
              <w14:schemeClr w14:val="tx1"/>
            </w14:solidFill>
          </w14:textFill>
        </w:rPr>
        <w:t>党的民族工作经验研究</w:t>
      </w:r>
    </w:p>
    <w:p>
      <w:pPr>
        <w:suppressAutoHyphens/>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三、自筹项目</w:t>
      </w:r>
    </w:p>
    <w:p>
      <w:pPr>
        <w:spacing w:line="58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36.新媒体环境下有形有感有效开展铸牢中华民族共同体意识宣传教育研究</w:t>
      </w:r>
    </w:p>
    <w:p>
      <w:pPr>
        <w:spacing w:line="58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37.鲁土司雷坛庙壁画对中华民族共同体意识的立体展现研究</w:t>
      </w:r>
    </w:p>
    <w:p>
      <w:pPr>
        <w:spacing w:line="58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38.铸牢中华民族共同体意识背景下民族院校推广国家通用语言文字的探索与实践——以甘肃民族师范学院为例</w:t>
      </w:r>
    </w:p>
    <w:p>
      <w:pPr>
        <w:spacing w:line="58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39.白银市共和镇（原打拉池乡）兄弟村红色记忆个案调查研究</w:t>
      </w:r>
    </w:p>
    <w:p>
      <w:pPr>
        <w:spacing w:line="58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40.多层次、复合型中华民族共同体意识师资培训体系构建研究</w:t>
      </w:r>
    </w:p>
    <w:p>
      <w:pPr>
        <w:spacing w:line="360" w:lineRule="auto"/>
        <w:ind w:right="25" w:rightChars="12"/>
        <w:rPr>
          <w:rFonts w:ascii="仿宋_GB2312" w:hAnsi="仿宋_GB2312" w:eastAsia="仿宋_GB2312" w:cs="仿宋_GB2312"/>
          <w:b/>
          <w:bCs/>
          <w:color w:val="000000"/>
          <w:sz w:val="32"/>
          <w:szCs w:val="32"/>
        </w:rPr>
      </w:pPr>
    </w:p>
    <w:p>
      <w:pPr>
        <w:spacing w:line="360" w:lineRule="auto"/>
        <w:ind w:right="25" w:rightChars="12"/>
        <w:rPr>
          <w:rFonts w:ascii="仿宋_GB2312" w:hAnsi="仿宋_GB2312" w:eastAsia="仿宋_GB2312" w:cs="仿宋_GB2312"/>
          <w:b/>
          <w:bCs/>
          <w:color w:val="000000"/>
          <w:sz w:val="32"/>
          <w:szCs w:val="32"/>
        </w:rPr>
      </w:pPr>
    </w:p>
    <w:p>
      <w:pPr>
        <w:spacing w:line="360" w:lineRule="auto"/>
        <w:ind w:right="25" w:rightChars="12"/>
        <w:rPr>
          <w:rFonts w:ascii="仿宋_GB2312" w:hAnsi="仿宋_GB2312" w:eastAsia="仿宋_GB2312" w:cs="仿宋_GB2312"/>
          <w:b/>
          <w:bCs/>
          <w:color w:val="000000"/>
          <w:sz w:val="32"/>
          <w:szCs w:val="32"/>
        </w:rPr>
      </w:pPr>
    </w:p>
    <w:p>
      <w:pPr>
        <w:spacing w:line="360" w:lineRule="auto"/>
        <w:ind w:right="25" w:rightChars="12"/>
        <w:rPr>
          <w:rFonts w:ascii="仿宋_GB2312" w:hAnsi="仿宋_GB2312" w:eastAsia="仿宋_GB2312" w:cs="仿宋_GB2312"/>
          <w:b/>
          <w:bCs/>
          <w:color w:val="000000"/>
          <w:sz w:val="32"/>
          <w:szCs w:val="32"/>
        </w:rPr>
      </w:pPr>
    </w:p>
    <w:p>
      <w:pPr>
        <w:spacing w:line="360" w:lineRule="auto"/>
        <w:ind w:right="25" w:rightChars="12"/>
        <w:rPr>
          <w:rFonts w:ascii="仿宋_GB2312" w:hAnsi="仿宋_GB2312" w:eastAsia="仿宋_GB2312" w:cs="仿宋_GB2312"/>
          <w:b/>
          <w:bCs/>
          <w:color w:val="000000"/>
          <w:sz w:val="32"/>
          <w:szCs w:val="32"/>
        </w:rPr>
      </w:pPr>
    </w:p>
    <w:p>
      <w:pPr>
        <w:spacing w:line="360" w:lineRule="auto"/>
        <w:ind w:right="25" w:rightChars="12"/>
        <w:rPr>
          <w:rFonts w:ascii="仿宋_GB2312" w:hAnsi="仿宋_GB2312" w:eastAsia="仿宋_GB2312" w:cs="仿宋_GB2312"/>
          <w:b/>
          <w:bCs/>
          <w:color w:val="000000"/>
          <w:sz w:val="32"/>
          <w:szCs w:val="32"/>
        </w:rPr>
      </w:pPr>
    </w:p>
    <w:p>
      <w:pPr>
        <w:spacing w:line="360" w:lineRule="auto"/>
        <w:ind w:right="25" w:rightChars="12"/>
        <w:rPr>
          <w:rFonts w:ascii="仿宋_GB2312" w:hAnsi="仿宋_GB2312" w:eastAsia="仿宋_GB2312" w:cs="仿宋_GB2312"/>
          <w:b/>
          <w:bCs/>
          <w:color w:val="000000"/>
          <w:sz w:val="32"/>
          <w:szCs w:val="32"/>
        </w:rPr>
      </w:pPr>
    </w:p>
    <w:p>
      <w:pPr>
        <w:spacing w:line="360" w:lineRule="auto"/>
        <w:ind w:right="25" w:rightChars="12"/>
        <w:rPr>
          <w:rFonts w:ascii="仿宋_GB2312" w:hAnsi="仿宋_GB2312" w:eastAsia="仿宋_GB2312" w:cs="仿宋_GB2312"/>
          <w:b/>
          <w:bCs/>
          <w:color w:val="000000"/>
          <w:sz w:val="32"/>
          <w:szCs w:val="32"/>
        </w:rPr>
      </w:pPr>
    </w:p>
    <w:p>
      <w:pPr>
        <w:spacing w:line="360" w:lineRule="auto"/>
        <w:ind w:right="25" w:rightChars="12"/>
        <w:rPr>
          <w:rFonts w:ascii="仿宋_GB2312" w:hAnsi="仿宋_GB2312" w:eastAsia="仿宋_GB2312" w:cs="仿宋_GB2312"/>
          <w:b/>
          <w:bCs/>
          <w:color w:val="000000"/>
          <w:sz w:val="32"/>
          <w:szCs w:val="32"/>
        </w:rPr>
      </w:pPr>
    </w:p>
    <w:p>
      <w:pPr>
        <w:spacing w:line="360" w:lineRule="auto"/>
        <w:ind w:right="25" w:rightChars="12"/>
        <w:rPr>
          <w:rFonts w:ascii="仿宋_GB2312" w:hAnsi="仿宋_GB2312" w:eastAsia="仿宋_GB2312" w:cs="仿宋_GB2312"/>
          <w:b/>
          <w:bCs/>
          <w:color w:val="000000"/>
          <w:sz w:val="32"/>
          <w:szCs w:val="32"/>
        </w:rPr>
      </w:pPr>
    </w:p>
    <w:p>
      <w:pPr>
        <w:spacing w:line="360" w:lineRule="auto"/>
        <w:ind w:right="25" w:rightChars="12"/>
        <w:rPr>
          <w:rFonts w:ascii="仿宋_GB2312" w:hAnsi="仿宋_GB2312" w:eastAsia="仿宋_GB2312" w:cs="仿宋_GB2312"/>
          <w:b/>
          <w:bCs/>
          <w:color w:val="00000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Microsoft YaHei UI"/>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MDIyYmRiN2RiMWM5NjY2MzcxMTA1ZWQ0YWNhOTkifQ=="/>
  </w:docVars>
  <w:rsids>
    <w:rsidRoot w:val="628627B1"/>
    <w:rsid w:val="62862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2024-03-18T03:35:00Z</dcterms:created>
  <dc:creator>云间月</dc:creator>
  <cp:lastModifiedBy>云间月</cp:lastModifiedBy>
  <dcterms:modified xsi:type="dcterms:W3CDTF">2024-03-18T03:35:40Z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1EAC169FD1684AE6AD14106F82C1A3B3_11</vt:lpwstr>
  </property>
</Properties>
</file>