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rPr>
          <w:rFonts w:hint="eastAsia" w:ascii="黑体" w:eastAsia="黑体" w:cs="黑体"/>
          <w:sz w:val="32"/>
          <w:szCs w:val="32"/>
          <w:lang w:val="en-US" w:eastAsia="zh-CN" w:bidi="ar-SA"/>
        </w:rPr>
      </w:pPr>
      <w:r>
        <w:rPr>
          <w:rFonts w:hint="eastAsia" w:ascii="黑体" w:eastAsia="黑体" w:cs="黑体"/>
          <w:sz w:val="32"/>
          <w:szCs w:val="32"/>
          <w:lang w:eastAsia="zh-CN" w:bidi="ar-SA"/>
        </w:rPr>
        <w:t>附件</w:t>
      </w:r>
      <w:r>
        <w:rPr>
          <w:rFonts w:hint="eastAsia" w:ascii="黑体" w:eastAsia="黑体" w:cs="黑体"/>
          <w:sz w:val="32"/>
          <w:szCs w:val="32"/>
          <w:lang w:val="en-US" w:eastAsia="zh-CN" w:bidi="ar-SA"/>
        </w:rPr>
        <w:t>1</w:t>
      </w:r>
    </w:p>
    <w:p>
      <w:pPr>
        <w:pStyle w:val="2"/>
        <w:keepNext w:val="0"/>
        <w:keepLines w:val="0"/>
        <w:pageBreakBefore w:val="0"/>
        <w:widowControl w:val="0"/>
        <w:kinsoku/>
        <w:wordWrap/>
        <w:overflowPunct/>
        <w:topLinePunct w:val="0"/>
        <w:autoSpaceDE/>
        <w:autoSpaceDN/>
        <w:bidi w:val="0"/>
        <w:adjustRightInd/>
        <w:snapToGrid/>
        <w:spacing w:line="600" w:lineRule="exact"/>
      </w:pPr>
    </w:p>
    <w:p>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方正小标宋简体" w:eastAsia="方正小标宋简体" w:cs="黑体"/>
          <w:sz w:val="44"/>
          <w:szCs w:val="44"/>
          <w:lang w:val="en-US" w:eastAsia="zh-CN" w:bidi="ar-SA"/>
        </w:rPr>
      </w:pPr>
      <w:r>
        <w:rPr>
          <w:rFonts w:hint="eastAsia" w:ascii="方正小标宋简体" w:eastAsia="方正小标宋简体" w:cs="黑体"/>
          <w:sz w:val="44"/>
          <w:szCs w:val="44"/>
          <w:lang w:val="en-US" w:eastAsia="zh-CN" w:bidi="ar-SA"/>
        </w:rPr>
        <w:t>一般项目课题选题范围</w:t>
      </w:r>
    </w:p>
    <w:p>
      <w:pPr>
        <w:keepNext w:val="0"/>
        <w:keepLines w:val="0"/>
        <w:pageBreakBefore w:val="0"/>
        <w:widowControl w:val="0"/>
        <w:kinsoku/>
        <w:wordWrap/>
        <w:overflowPunct/>
        <w:topLinePunct w:val="0"/>
        <w:autoSpaceDE/>
        <w:autoSpaceDN/>
        <w:bidi w:val="0"/>
        <w:adjustRightInd/>
        <w:snapToGrid/>
        <w:spacing w:line="600" w:lineRule="exact"/>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党建引领甘肃新经济组织、新社会组织、新就业群体高质量发展研究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党建引领下甘肃省基层治理效能提升研究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中国</w:t>
      </w:r>
      <w:bookmarkStart w:id="0" w:name="_GoBack"/>
      <w:bookmarkEnd w:id="0"/>
      <w:r>
        <w:rPr>
          <w:rFonts w:hint="eastAsia" w:ascii="仿宋_GB2312" w:eastAsia="仿宋_GB2312" w:cs="仿宋_GB2312"/>
          <w:sz w:val="32"/>
          <w:szCs w:val="32"/>
        </w:rPr>
        <w:t>式现代化引领甘肃省创新驱动发展的重点任务研究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中国式现代化与甘肃数字经济发展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奋力谱写中国式现代化建设的甘肃工业经济高质量发展新篇章</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*按照中国式现代化要求推动甘肃</w:t>
      </w:r>
      <w:r>
        <w:rPr>
          <w:rFonts w:hint="eastAsia" w:ascii="仿宋_GB2312" w:eastAsia="仿宋_GB2312" w:cs="仿宋_GB2312"/>
          <w:sz w:val="32"/>
          <w:szCs w:val="32"/>
          <w:lang w:eastAsia="zh-CN"/>
        </w:rPr>
        <w:t>产业转型升级对策研究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甘肃现代化建设的绿色转型方式研究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实施“八个赋能”推动甘肃经济发展赶超进位的对策研究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甘肃省构建“四外”（外贸、外资、外经、外运）联动机制与打造内陆开放新高地对策研究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关于整体提升我省新材料工业发展效能对策研究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提升“兰白两区”科技创新密度浓度广度的具体措施研究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创新黄河流域生态保护和高质量发展的投融资机制研究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创新我省文旅产业新业态对接消费升级的战略思路研究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发展数字经济赋能甘肃高质量发展的对策研究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甘肃省支持专精特新企业培育和发展的政策体系和服务体系完善研究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积极探索中国式现代化甘肃乡村振兴实践的路径研究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关于精准实施“六个聚焦”打造甘肃农业强省的对策研究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甘肃省进一步完善城乡社区治理服务体系研究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产教融合校企双元育人的机制与路径研究</w:t>
      </w:r>
      <w:r>
        <w:rPr>
          <w:rFonts w:hint="eastAsia" w:ascii="仿宋_GB2312" w:eastAsia="仿宋_GB2312" w:cs="仿宋_GB2312"/>
          <w:sz w:val="32"/>
          <w:szCs w:val="32"/>
        </w:rPr>
        <w:tab/>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甘肃加强数字政府建设研究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推进甘肃乡村医疗卫生服务高质量发展研究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甘肃引导城市专业技术人员入乡兼职兼薪和离岗创业研究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甘肃省推进营商环境优化的关键路径</w:t>
      </w:r>
      <w:r>
        <w:rPr>
          <w:rFonts w:ascii="仿宋_GB2312" w:eastAsia="仿宋_GB2312" w:cs="仿宋_GB2312"/>
          <w:sz w:val="32"/>
          <w:szCs w:val="32"/>
        </w:rPr>
        <w:t>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甘肃提升应急管理体系与能力建设研究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甘肃农村医养结合职业人才培养模式研究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“双碳”背景下甘肃省绿色发展的法治保障研究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甘肃省知识产权港建设的法治保障研究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甘肃省自然保护地“三线一单”分区管控制度研究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甘肃省重点领域、新兴领域和涉外领域地方立法研究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甘肃省营商环境法治化建设的路径研究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推动黄河流域文旅产业发展的甘肃理念研究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甘肃文化优势转化为经济优势的个案研究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甘肃非物质文化遗产传承保护的个案研究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进一步推进甘肃文化公园建设的举措研究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讲好美丽中国建设中的甘肃贡献研究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中华探源工程甘肃区考古与保护研究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中华文明传播中的甘肃标识研究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汉唐间敦煌地区民族交融与中华民族共同体关系研究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探索数字媒体时代下博物馆的“小屏”战与知识传播方式</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新形势下创新“流动博物馆”展教模式的实践探析</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在网络同质化下，传统民俗文化在博物馆青少年活动中的创新突破与研究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新时代博物馆文物资源活化利用研究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宋元时期的文物所见陇右地区民族交流交融史研究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甘肃出土文物所反映的民俗文化研究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甘肃非物质文化遗产与青少年社教融合发展研究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图书馆助力乡村文化振兴的策略研究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全媒体时代公共图书馆社会化合作机制研究</w:t>
      </w:r>
    </w:p>
    <w:p/>
    <w:sectPr>
      <w:pgSz w:w="11906" w:h="16838"/>
      <w:pgMar w:top="1701" w:right="1474" w:bottom="1417"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F6A2E"/>
    <w:multiLevelType w:val="singleLevel"/>
    <w:tmpl w:val="6B7F6A2E"/>
    <w:lvl w:ilvl="0" w:tentative="0">
      <w:start w:val="1"/>
      <w:numFmt w:val="decimal"/>
      <w:suff w:val="nothing"/>
      <w:lvlText w:val="%1．"/>
      <w:lvlJc w:val="left"/>
      <w:pPr>
        <w:tabs>
          <w:tab w:val="left" w:pos="0"/>
        </w:tabs>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BF9FD3"/>
    <w:rsid w:val="DFBF9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next w:val="3"/>
    <w:qFormat/>
    <w:uiPriority w:val="0"/>
    <w:pPr>
      <w:widowControl w:val="0"/>
      <w:spacing w:after="120" w:line="240" w:lineRule="auto"/>
      <w:jc w:val="both"/>
      <w:textAlignment w:val="baseline"/>
    </w:pPr>
    <w:rPr>
      <w:rFonts w:ascii="Calibri" w:hAnsi="Calibri" w:eastAsia="宋体" w:cs="Times New Roman"/>
      <w:kern w:val="2"/>
      <w:sz w:val="21"/>
      <w:lang w:val="en-US" w:eastAsia="zh-CN" w:bidi="ar-SA"/>
    </w:rPr>
  </w:style>
  <w:style w:type="paragraph" w:styleId="3">
    <w:name w:val="index 5"/>
    <w:basedOn w:val="1"/>
    <w:next w:val="1"/>
    <w:qFormat/>
    <w:uiPriority w:val="0"/>
    <w:pPr>
      <w:ind w:left="168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2023-03-24T11:10:00Z</dcterms:created>
  <dc:creator>baixin</dc:creator>
  <cp:lastModifiedBy>baixin</cp:lastModifiedBy>
  <dcterms:modified xsi:type="dcterms:W3CDTF">2023-03-24T11:11:26Z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2052-11.8.2.9346</vt:lpwstr>
  </property>
</Properties>
</file>