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rPr>
          <w:rFonts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1</w:t>
      </w:r>
    </w:p>
    <w:p>
      <w:pPr>
        <w:pStyle w:val="2"/>
        <w:keepNext w:val="0"/>
        <w:keepLines w:val="0"/>
        <w:pageBreakBefore w:val="0"/>
        <w:widowControl w:val="0"/>
        <w:spacing w:line="6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jc w:val="center"/>
        <w:rPr>
          <w:rFonts w:hint="eastAsia" w:ascii="方正小标宋简体" w:eastAsia="方正小标宋简体" w:cs="黑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黑体"/>
          <w:sz w:val="44"/>
          <w:szCs w:val="44"/>
          <w:lang w:val="en-US" w:eastAsia="zh-CN" w:bidi="ar-SA"/>
        </w:rPr>
        <w:t>一般</w:t>
      </w:r>
      <w:r>
        <w:rPr>
          <w:rFonts w:hint="eastAsia" w:ascii="方正小标宋简体" w:eastAsia="方正小标宋简体" w:cs="黑体"/>
          <w:sz w:val="44"/>
          <w:szCs w:val="44"/>
        </w:rPr>
        <w:t>项目</w:t>
      </w:r>
      <w:r>
        <w:rPr>
          <w:rFonts w:hint="eastAsia" w:ascii="方正小标宋简体" w:eastAsia="方正小标宋简体" w:cs="黑体"/>
          <w:sz w:val="44"/>
          <w:szCs w:val="44"/>
          <w:lang w:val="en-US" w:eastAsia="zh-CN" w:bidi="ar-SA"/>
        </w:rPr>
        <w:t>选题范围</w:t>
      </w:r>
    </w:p>
    <w:p>
      <w:pPr>
        <w:pStyle w:val="2"/>
        <w:spacing w:line="62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伟大建党精神在甘肃的传承与发展对策研究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新时代甘肃弘扬伟大建党精神的实践路径研究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伟大建党精神转化为推动甘肃发展的实践动力研究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伟大建党精神融入高校思政课教学的路径与方法研究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伟大建党精神融入甘肃全面从严治党实践研究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“双碳”目标与甘肃新能源产业高质量发展对策研究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提升兰州新区产业链现代化水平对策研究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我省工业“专精特新”产品创新途径研究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加快我省新材料产业发展的对策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我省工业产业链协同降碳机制研究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传统工业“三化”改造效果评价及高端化发展研究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数字金融赋能甘肃先进制造业发展的机制和对策研究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实施“强省会”行动的战略和对策研究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甘肃省巩固壮大实体经济根基对策研究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甘肃省构建双循环新发展格局对策研究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甘肃省改善营商环境扩大引入增量对策研究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甘肃省农村集体经济发展提升对策研究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我省强县域的短板弱项及突破方向研究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甘肃省县域富民产业发展问题与对策研究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甘肃省国家农业现代化示范区高质量发展研究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甘肃省实施乡村建设行动的问题与对策研究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甘肃省农村宅基地“三权分置”改革试点经验与对策研究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甘肃县域碳排放差异及碳补偿机制研究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甘肃省数字经济发展问题与对策研究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加快实施甘肃省“强科技”行动的对策研究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抢抓</w:t>
      </w:r>
      <w:r>
        <w:rPr>
          <w:rFonts w:hint="eastAsia" w:ascii="仿宋_GB2312" w:eastAsia="仿宋_GB2312" w:cs="仿宋_GB2312"/>
          <w:sz w:val="32"/>
          <w:szCs w:val="32"/>
        </w:rPr>
        <w:t>“东数西算”工程发展机遇研究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“双碳”背景下甘肃实现经济跨越发展路径研究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甘肃省大气污染与二氧化碳减排降碳联动机制研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文旅产业发展与黄河流域生态保护协同推进关键措施研究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兰州新区国家级绿色金融示范区带动企业绿色发展对策研究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甘肃省全民数字经济素养提升策略和路径研究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“一带一路”建设与甘肃经济高质量发展对策研究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甘肃融入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一带一路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国际陆海贸易新通道进展评估研究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深化体制机制改革支持甘肃民营经济高质量发展研究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深化甘肃省放管服改革的对策研究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甘肃对外贸易高质量发展对策研究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甘肃省城乡物流体系可持续发展对策研究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共建兰西城市群的政策协同机制研究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甘肃省黄河文化遗产保护法律问题研究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甘肃省数字经济发展的法治保障机制研究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黄河上游生态保护的司法协同机制研究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甘肃打造市场化法治化国际化营商环境策略研究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甘肃省实现共同富裕的路径与对策研究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甘肃省缩小城乡收入差距的对策研究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加快甘肃省普惠托育服务体系研究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加快构建甘肃省地方特色养老服务体系对策研究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藏族《四部医典》的唐卡艺术展示方式研究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促进甘肃省城乡居民多渠道灵活就业对策研究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甘肃简牍发现史研究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甘肃秦始皇长城遗址调查研究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黄河沿线乡村文化资源保护与“特色村”建设同步推进研究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甘肃民间收藏的地域古文献研究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甘肃民间传统节日所见中华文化认同研究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甘肃省非遗文化产业效率与经济增长耦合协调发展研究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破解唯“分数论”，加强少先队员光荣感，做好推优入团工作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新时代甘肃省少先队员社会主义核心价值观培育策略研究</w:t>
      </w:r>
    </w:p>
    <w:p>
      <w:bookmarkStart w:id="0" w:name="_GoBack"/>
      <w:bookmarkEnd w:id="0"/>
    </w:p>
    <w:sectPr>
      <w:pgSz w:w="11906" w:h="16838"/>
      <w:pgMar w:top="1644" w:right="1474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EE8E8"/>
    <w:multiLevelType w:val="singleLevel"/>
    <w:tmpl w:val="F7DEE8E8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F40A"/>
    <w:rsid w:val="7BFEF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2022-04-02T09:16:00Z</dcterms:created>
  <dc:creator>baixin</dc:creator>
  <cp:lastModifiedBy>baixin</cp:lastModifiedBy>
  <dcterms:modified xsi:type="dcterms:W3CDTF">2022-04-02T09:18:11Z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