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79F31">
      <w:pPr>
        <w:spacing w:line="580" w:lineRule="exact"/>
        <w:rPr>
          <w:rFonts w:hint="eastAsia" w:ascii="黑体" w:hAnsi="黑体" w:eastAsia="黑体" w:cs="黑体"/>
          <w:kern w:val="1"/>
          <w:sz w:val="32"/>
          <w:szCs w:val="32"/>
        </w:rPr>
      </w:pPr>
      <w:r>
        <w:rPr>
          <w:rFonts w:hint="eastAsia" w:ascii="黑体" w:hAnsi="黑体" w:eastAsia="黑体" w:cs="黑体"/>
          <w:kern w:val="1"/>
          <w:sz w:val="32"/>
          <w:szCs w:val="32"/>
        </w:rPr>
        <w:t>附件1</w:t>
      </w:r>
    </w:p>
    <w:p w14:paraId="7A243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36"/>
          <w:szCs w:val="36"/>
        </w:rPr>
      </w:pPr>
    </w:p>
    <w:p w14:paraId="61E79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36"/>
          <w:szCs w:val="36"/>
        </w:rPr>
        <w:t>2025年铸牢中华民族共同体意识宣传教育</w:t>
      </w:r>
    </w:p>
    <w:p w14:paraId="3D352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pacing w:val="0"/>
          <w:kern w:val="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36"/>
          <w:szCs w:val="36"/>
        </w:rPr>
        <w:t>专项研究课题选题指南</w:t>
      </w:r>
    </w:p>
    <w:p w14:paraId="1A17B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center"/>
        <w:rPr>
          <w:rFonts w:ascii="仿宋_GB2312" w:hAnsi="仿宋" w:eastAsia="仿宋_GB2312" w:cs="仿宋"/>
          <w:spacing w:val="0"/>
          <w:kern w:val="1"/>
          <w:sz w:val="36"/>
          <w:szCs w:val="36"/>
        </w:rPr>
      </w:pPr>
    </w:p>
    <w:p w14:paraId="0C47A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 w:ascii="仿宋_GB2312" w:hAnsi="仿宋" w:eastAsia="仿宋_GB2312" w:cs="仿宋"/>
          <w:kern w:val="1"/>
          <w:sz w:val="32"/>
          <w:szCs w:val="32"/>
        </w:rPr>
      </w:pPr>
      <w:r>
        <w:rPr>
          <w:rFonts w:hint="eastAsia" w:ascii="仿宋_GB2312" w:hAnsi="仿宋" w:eastAsia="仿宋_GB2312" w:cs="仿宋"/>
          <w:kern w:val="1"/>
          <w:sz w:val="32"/>
          <w:szCs w:val="32"/>
        </w:rPr>
        <w:t>1.铸牢中华民族共同体意识宣传教育体制机制研究</w:t>
      </w:r>
    </w:p>
    <w:p w14:paraId="555B9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 w:ascii="仿宋_GB2312" w:hAnsi="仿宋" w:eastAsia="仿宋_GB2312" w:cs="仿宋"/>
          <w:kern w:val="1"/>
          <w:sz w:val="32"/>
          <w:szCs w:val="32"/>
        </w:rPr>
      </w:pPr>
      <w:r>
        <w:rPr>
          <w:rFonts w:hint="eastAsia" w:ascii="仿宋_GB2312" w:hAnsi="仿宋" w:eastAsia="仿宋_GB2312" w:cs="仿宋"/>
          <w:kern w:val="1"/>
          <w:sz w:val="32"/>
          <w:szCs w:val="32"/>
        </w:rPr>
        <w:t>2.铸牢中</w:t>
      </w:r>
      <w:r>
        <w:rPr>
          <w:rFonts w:ascii="仿宋_GB2312" w:hAnsi="仿宋" w:eastAsia="仿宋_GB2312" w:cs="仿宋"/>
          <w:kern w:val="1"/>
          <w:sz w:val="32"/>
          <w:szCs w:val="32"/>
        </w:rPr>
        <w:t>华民族共同体意识</w:t>
      </w:r>
      <w:r>
        <w:rPr>
          <w:rFonts w:hint="eastAsia" w:ascii="仿宋_GB2312" w:hAnsi="仿宋" w:eastAsia="仿宋_GB2312" w:cs="仿宋"/>
          <w:kern w:val="1"/>
          <w:sz w:val="32"/>
          <w:szCs w:val="32"/>
        </w:rPr>
        <w:t>宣传教育体系研究</w:t>
      </w:r>
    </w:p>
    <w:p w14:paraId="280C0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ascii="仿宋_GB2312" w:hAnsi="仿宋" w:eastAsia="仿宋_GB2312" w:cs="仿宋"/>
          <w:kern w:val="1"/>
          <w:sz w:val="32"/>
          <w:szCs w:val="32"/>
        </w:rPr>
      </w:pPr>
      <w:r>
        <w:rPr>
          <w:rFonts w:hint="eastAsia" w:ascii="仿宋_GB2312" w:hAnsi="仿宋" w:eastAsia="仿宋_GB2312" w:cs="仿宋"/>
          <w:kern w:val="1"/>
          <w:sz w:val="32"/>
          <w:szCs w:val="32"/>
        </w:rPr>
        <w:t>3.铸牢中华民族共同体意识</w:t>
      </w:r>
      <w:r>
        <w:rPr>
          <w:rFonts w:ascii="仿宋_GB2312" w:hAnsi="仿宋" w:eastAsia="仿宋_GB2312" w:cs="仿宋"/>
          <w:kern w:val="1"/>
          <w:sz w:val="32"/>
          <w:szCs w:val="32"/>
        </w:rPr>
        <w:t>教育</w:t>
      </w:r>
      <w:r>
        <w:rPr>
          <w:rFonts w:hint="eastAsia" w:ascii="仿宋_GB2312" w:hAnsi="仿宋" w:eastAsia="仿宋_GB2312" w:cs="仿宋"/>
          <w:kern w:val="1"/>
          <w:sz w:val="32"/>
          <w:szCs w:val="32"/>
        </w:rPr>
        <w:t>融入大中小学思想政治教育体系研究</w:t>
      </w:r>
    </w:p>
    <w:p w14:paraId="4B614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ascii="仿宋_GB2312" w:hAnsi="仿宋" w:eastAsia="仿宋_GB2312" w:cs="仿宋"/>
          <w:kern w:val="1"/>
          <w:sz w:val="32"/>
          <w:szCs w:val="32"/>
        </w:rPr>
      </w:pPr>
      <w:r>
        <w:rPr>
          <w:rFonts w:hint="eastAsia" w:ascii="仿宋_GB2312" w:hAnsi="仿宋" w:eastAsia="仿宋_GB2312" w:cs="仿宋"/>
          <w:kern w:val="1"/>
          <w:sz w:val="32"/>
          <w:szCs w:val="32"/>
        </w:rPr>
        <w:t>4</w:t>
      </w:r>
      <w:r>
        <w:rPr>
          <w:rFonts w:ascii="仿宋_GB2312" w:hAnsi="仿宋" w:eastAsia="仿宋_GB2312" w:cs="仿宋"/>
          <w:kern w:val="1"/>
          <w:sz w:val="32"/>
          <w:szCs w:val="32"/>
        </w:rPr>
        <w:t>.</w:t>
      </w:r>
      <w:r>
        <w:rPr>
          <w:rFonts w:hint="eastAsia" w:ascii="仿宋_GB2312" w:hAnsi="仿宋" w:eastAsia="仿宋_GB2312" w:cs="仿宋"/>
          <w:kern w:val="1"/>
          <w:sz w:val="32"/>
          <w:szCs w:val="32"/>
        </w:rPr>
        <w:t>铸牢中</w:t>
      </w:r>
      <w:r>
        <w:rPr>
          <w:rFonts w:ascii="仿宋_GB2312" w:hAnsi="仿宋" w:eastAsia="仿宋_GB2312" w:cs="仿宋"/>
          <w:kern w:val="1"/>
          <w:sz w:val="32"/>
          <w:szCs w:val="32"/>
        </w:rPr>
        <w:t>华民族共同体意识</w:t>
      </w:r>
      <w:r>
        <w:rPr>
          <w:rFonts w:hint="eastAsia" w:ascii="仿宋_GB2312" w:hAnsi="仿宋" w:eastAsia="仿宋_GB2312" w:cs="仿宋"/>
          <w:kern w:val="1"/>
          <w:sz w:val="32"/>
          <w:szCs w:val="32"/>
        </w:rPr>
        <w:t>宣传教育常态化、长效化</w:t>
      </w:r>
      <w:r>
        <w:rPr>
          <w:rFonts w:ascii="仿宋_GB2312" w:hAnsi="仿宋" w:eastAsia="仿宋_GB2312" w:cs="仿宋"/>
          <w:kern w:val="1"/>
          <w:sz w:val="32"/>
          <w:szCs w:val="32"/>
        </w:rPr>
        <w:t>路径研究</w:t>
      </w:r>
    </w:p>
    <w:p w14:paraId="773D1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 w:ascii="仿宋_GB2312" w:hAnsi="仿宋" w:eastAsia="仿宋_GB2312" w:cs="仿宋"/>
          <w:kern w:val="1"/>
          <w:sz w:val="32"/>
          <w:szCs w:val="32"/>
        </w:rPr>
      </w:pPr>
      <w:r>
        <w:rPr>
          <w:rFonts w:hint="eastAsia" w:ascii="仿宋_GB2312" w:hAnsi="仿宋" w:eastAsia="仿宋_GB2312" w:cs="仿宋"/>
          <w:kern w:val="1"/>
          <w:sz w:val="32"/>
          <w:szCs w:val="32"/>
        </w:rPr>
        <w:t>5.铸牢中华民族共同体意识宣传教</w:t>
      </w:r>
      <w:r>
        <w:rPr>
          <w:rFonts w:ascii="仿宋_GB2312" w:hAnsi="仿宋" w:eastAsia="仿宋_GB2312" w:cs="仿宋"/>
          <w:kern w:val="1"/>
          <w:sz w:val="32"/>
          <w:szCs w:val="32"/>
        </w:rPr>
        <w:t>育的</w:t>
      </w:r>
      <w:r>
        <w:rPr>
          <w:rFonts w:hint="eastAsia" w:ascii="仿宋_GB2312" w:hAnsi="仿宋" w:eastAsia="仿宋_GB2312" w:cs="仿宋"/>
          <w:kern w:val="1"/>
          <w:sz w:val="32"/>
          <w:szCs w:val="32"/>
        </w:rPr>
        <w:t>重大意义、基本特征</w:t>
      </w:r>
      <w:r>
        <w:rPr>
          <w:rFonts w:ascii="仿宋_GB2312" w:hAnsi="仿宋" w:eastAsia="仿宋_GB2312" w:cs="仿宋"/>
          <w:kern w:val="1"/>
          <w:sz w:val="32"/>
          <w:szCs w:val="32"/>
        </w:rPr>
        <w:t>与实践路径</w:t>
      </w:r>
      <w:r>
        <w:rPr>
          <w:rFonts w:hint="eastAsia" w:ascii="仿宋_GB2312" w:hAnsi="仿宋" w:eastAsia="仿宋_GB2312" w:cs="仿宋"/>
          <w:kern w:val="1"/>
          <w:sz w:val="32"/>
          <w:szCs w:val="32"/>
        </w:rPr>
        <w:t>研究</w:t>
      </w:r>
    </w:p>
    <w:p w14:paraId="495A1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 w:ascii="仿宋_GB2312" w:hAnsi="仿宋" w:eastAsia="仿宋_GB2312" w:cs="仿宋"/>
          <w:kern w:val="1"/>
          <w:sz w:val="32"/>
          <w:szCs w:val="32"/>
        </w:rPr>
      </w:pPr>
      <w:r>
        <w:rPr>
          <w:rFonts w:ascii="仿宋_GB2312" w:hAnsi="仿宋" w:eastAsia="仿宋_GB2312" w:cs="仿宋"/>
          <w:kern w:val="1"/>
          <w:sz w:val="32"/>
          <w:szCs w:val="32"/>
        </w:rPr>
        <w:t>6</w:t>
      </w:r>
      <w:r>
        <w:rPr>
          <w:rFonts w:hint="eastAsia" w:ascii="仿宋_GB2312" w:hAnsi="仿宋" w:eastAsia="仿宋_GB2312" w:cs="仿宋"/>
          <w:kern w:val="1"/>
          <w:sz w:val="32"/>
          <w:szCs w:val="32"/>
        </w:rPr>
        <w:t>.铸牢中华民族共同体意识</w:t>
      </w:r>
      <w:r>
        <w:rPr>
          <w:rFonts w:ascii="仿宋_GB2312" w:hAnsi="仿宋" w:eastAsia="仿宋_GB2312" w:cs="仿宋"/>
          <w:kern w:val="1"/>
          <w:sz w:val="32"/>
          <w:szCs w:val="32"/>
        </w:rPr>
        <w:t>宣传教育</w:t>
      </w:r>
      <w:r>
        <w:rPr>
          <w:rFonts w:hint="eastAsia" w:ascii="仿宋_GB2312" w:hAnsi="仿宋" w:eastAsia="仿宋_GB2312" w:cs="仿宋"/>
          <w:kern w:val="1"/>
          <w:sz w:val="32"/>
          <w:szCs w:val="32"/>
        </w:rPr>
        <w:t>的现状、问题及改进措施研究</w:t>
      </w:r>
    </w:p>
    <w:p w14:paraId="7C1F8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ascii="仿宋_GB2312" w:hAnsi="仿宋" w:eastAsia="仿宋_GB2312" w:cs="仿宋"/>
          <w:kern w:val="1"/>
          <w:sz w:val="32"/>
          <w:szCs w:val="32"/>
        </w:rPr>
      </w:pPr>
      <w:r>
        <w:rPr>
          <w:rFonts w:ascii="仿宋_GB2312" w:hAnsi="仿宋" w:eastAsia="仿宋_GB2312" w:cs="仿宋"/>
          <w:kern w:val="1"/>
          <w:sz w:val="32"/>
          <w:szCs w:val="32"/>
        </w:rPr>
        <w:t>7</w:t>
      </w:r>
      <w:r>
        <w:rPr>
          <w:rFonts w:hint="eastAsia" w:ascii="仿宋_GB2312" w:hAnsi="仿宋" w:eastAsia="仿宋_GB2312" w:cs="仿宋"/>
          <w:kern w:val="1"/>
          <w:sz w:val="32"/>
          <w:szCs w:val="32"/>
        </w:rPr>
        <w:t>.铸牢中华民族共同体意识宣传教育师资队伍建设研究</w:t>
      </w:r>
    </w:p>
    <w:p w14:paraId="268A3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ascii="仿宋_GB2312" w:hAnsi="仿宋" w:eastAsia="仿宋_GB2312" w:cs="仿宋"/>
          <w:spacing w:val="-6"/>
          <w:kern w:val="1"/>
          <w:sz w:val="32"/>
          <w:szCs w:val="32"/>
        </w:rPr>
      </w:pPr>
      <w:r>
        <w:rPr>
          <w:rFonts w:ascii="仿宋_GB2312" w:hAnsi="仿宋" w:eastAsia="仿宋_GB2312" w:cs="仿宋"/>
          <w:kern w:val="1"/>
          <w:sz w:val="32"/>
          <w:szCs w:val="32"/>
        </w:rPr>
        <w:t>8.</w:t>
      </w:r>
      <w:r>
        <w:rPr>
          <w:rFonts w:hint="eastAsia" w:ascii="仿宋_GB2312" w:hAnsi="仿宋" w:eastAsia="仿宋_GB2312" w:cs="仿宋"/>
          <w:spacing w:val="-6"/>
          <w:kern w:val="1"/>
          <w:sz w:val="32"/>
          <w:szCs w:val="32"/>
        </w:rPr>
        <w:t>铸牢中华民族共同体意识宣传教育网络精品课建设研究</w:t>
      </w:r>
    </w:p>
    <w:p w14:paraId="44A1E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ascii="仿宋_GB2312" w:hAnsi="仿宋" w:eastAsia="仿宋_GB2312" w:cs="仿宋"/>
          <w:kern w:val="1"/>
          <w:sz w:val="32"/>
          <w:szCs w:val="32"/>
        </w:rPr>
      </w:pPr>
      <w:r>
        <w:rPr>
          <w:rFonts w:ascii="仿宋_GB2312" w:hAnsi="仿宋" w:eastAsia="仿宋_GB2312" w:cs="仿宋"/>
          <w:kern w:val="1"/>
          <w:sz w:val="32"/>
          <w:szCs w:val="32"/>
        </w:rPr>
        <w:t>9</w:t>
      </w:r>
      <w:r>
        <w:rPr>
          <w:rFonts w:hint="eastAsia" w:ascii="仿宋_GB2312" w:hAnsi="仿宋" w:eastAsia="仿宋_GB2312" w:cs="仿宋"/>
          <w:kern w:val="1"/>
          <w:sz w:val="32"/>
          <w:szCs w:val="32"/>
        </w:rPr>
        <w:t>.铸牢中华民族共同体意识课程资源开发研究</w:t>
      </w:r>
    </w:p>
    <w:p w14:paraId="0F67B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 w:ascii="仿宋_GB2312" w:hAnsi="仿宋" w:eastAsia="仿宋_GB2312" w:cs="仿宋"/>
          <w:kern w:val="1"/>
          <w:sz w:val="32"/>
          <w:szCs w:val="32"/>
        </w:rPr>
      </w:pPr>
      <w:r>
        <w:rPr>
          <w:rFonts w:ascii="仿宋_GB2312" w:hAnsi="仿宋" w:eastAsia="仿宋_GB2312" w:cs="仿宋"/>
          <w:kern w:val="1"/>
          <w:sz w:val="32"/>
          <w:szCs w:val="32"/>
        </w:rPr>
        <w:t>10</w:t>
      </w:r>
      <w:r>
        <w:rPr>
          <w:rFonts w:hint="eastAsia" w:ascii="仿宋_GB2312" w:hAnsi="仿宋" w:eastAsia="仿宋_GB2312" w:cs="仿宋"/>
          <w:kern w:val="1"/>
          <w:sz w:val="32"/>
          <w:szCs w:val="32"/>
        </w:rPr>
        <w:t>.铸牢中华民族共同体意识教育评价机制研究</w:t>
      </w:r>
    </w:p>
    <w:p w14:paraId="54666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 w:ascii="仿宋_GB2312" w:hAnsi="仿宋" w:eastAsia="仿宋_GB2312" w:cs="仿宋"/>
          <w:kern w:val="1"/>
          <w:sz w:val="32"/>
          <w:szCs w:val="32"/>
        </w:rPr>
      </w:pPr>
      <w:r>
        <w:rPr>
          <w:rFonts w:hint="eastAsia" w:ascii="仿宋_GB2312" w:hAnsi="仿宋" w:eastAsia="仿宋_GB2312" w:cs="仿宋"/>
          <w:kern w:val="1"/>
          <w:sz w:val="32"/>
          <w:szCs w:val="32"/>
        </w:rPr>
        <w:t>1</w:t>
      </w:r>
      <w:r>
        <w:rPr>
          <w:rFonts w:ascii="仿宋_GB2312" w:hAnsi="仿宋" w:eastAsia="仿宋_GB2312" w:cs="仿宋"/>
          <w:kern w:val="1"/>
          <w:sz w:val="32"/>
          <w:szCs w:val="32"/>
        </w:rPr>
        <w:t>1</w:t>
      </w:r>
      <w:r>
        <w:rPr>
          <w:rFonts w:hint="eastAsia" w:ascii="仿宋_GB2312" w:hAnsi="仿宋" w:eastAsia="仿宋_GB2312" w:cs="仿宋"/>
          <w:kern w:val="1"/>
          <w:sz w:val="32"/>
          <w:szCs w:val="32"/>
        </w:rPr>
        <w:t>.铸牢中华民族共同体意识课堂教育效果监测研究</w:t>
      </w:r>
    </w:p>
    <w:p w14:paraId="622D6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sz w:val="32"/>
          <w:szCs w:val="32"/>
        </w:rPr>
      </w:pPr>
      <w:r>
        <w:rPr>
          <w:rFonts w:hint="eastAsia" w:ascii="仿宋_GB2312" w:hAnsi="仿宋" w:eastAsia="仿宋_GB2312" w:cs="仿宋"/>
          <w:kern w:val="1"/>
          <w:sz w:val="32"/>
          <w:szCs w:val="32"/>
        </w:rPr>
        <w:t>以上为选题范围，具体申报题目，可结合实际适当调整，进一步分解、细化</w:t>
      </w:r>
    </w:p>
    <w:p w14:paraId="7C45CB80">
      <w:pPr>
        <w:rPr>
          <w:rFonts w:hint="eastAsia" w:eastAsia="黑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973E9"/>
    <w:rsid w:val="033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uppressAutoHyphens/>
      <w:spacing w:after="140" w:afterLines="0" w:line="276" w:lineRule="auto"/>
      <w:jc w:val="left"/>
    </w:pPr>
    <w:rPr>
      <w:rFonts w:ascii="Times New Roman" w:hAnsi="Times New Roman" w:eastAsia="方正仿宋简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2025-01-10T03:36:00Z</dcterms:created>
  <dc:creator>。/某貓</dc:creator>
  <cp:lastModifiedBy>。/某貓</cp:lastModifiedBy>
  <dcterms:modified xsi:type="dcterms:W3CDTF">2025-01-10T03:36:15Z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441E257A16B04D99A0E7FADA0B989BB6_11</vt:lpwstr>
  </property>
</Properties>
</file>